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0D34E1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9704C6">
        <w:rPr>
          <w:rFonts w:ascii="Tahoma" w:hAnsi="Tahoma" w:cs="Tahoma"/>
          <w:sz w:val="16"/>
          <w:szCs w:val="16"/>
        </w:rPr>
        <w:t>25/06/2020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876FD9">
        <w:rPr>
          <w:rFonts w:ascii="Tahoma" w:hAnsi="Tahoma" w:cs="Tahoma"/>
          <w:b/>
          <w:sz w:val="20"/>
        </w:rPr>
        <w:t>de</w:t>
      </w:r>
      <w:r w:rsidR="009704C6">
        <w:rPr>
          <w:rFonts w:ascii="Tahoma" w:hAnsi="Tahoma" w:cs="Tahoma"/>
          <w:b/>
          <w:sz w:val="20"/>
        </w:rPr>
        <w:t xml:space="preserve"> Secrétaire à mi-temps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 xml:space="preserve">t à pourvoir </w:t>
      </w:r>
    </w:p>
    <w:p w:rsidR="00FC3360" w:rsidRDefault="009704C6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 sein de la Direction du Développement Economique et de l’Enseignement Supérieur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9704C6">
        <w:rPr>
          <w:rFonts w:ascii="Tahoma" w:hAnsi="Tahoma" w:cs="Tahoma"/>
          <w:sz w:val="20"/>
        </w:rPr>
        <w:t xml:space="preserve"> C</w:t>
      </w:r>
      <w:r w:rsidRPr="0095024C">
        <w:rPr>
          <w:rFonts w:ascii="Tahoma" w:hAnsi="Tahoma" w:cs="Tahoma"/>
          <w:sz w:val="20"/>
        </w:rPr>
        <w:t xml:space="preserve">–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</w:t>
      </w:r>
      <w:r w:rsidR="009704C6" w:rsidRPr="0095024C">
        <w:rPr>
          <w:rFonts w:ascii="Tahoma" w:hAnsi="Tahoma" w:cs="Tahoma"/>
          <w:sz w:val="20"/>
        </w:rPr>
        <w:t xml:space="preserve">des </w:t>
      </w:r>
      <w:r w:rsidR="009704C6">
        <w:rPr>
          <w:rFonts w:ascii="Tahoma" w:hAnsi="Tahoma" w:cs="Tahoma"/>
          <w:sz w:val="20"/>
        </w:rPr>
        <w:t xml:space="preserve">Adjoints administratifs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9704C6" w:rsidRPr="002F06D9" w:rsidRDefault="009704C6" w:rsidP="009704C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L’agent assure le secrétariat et l’accueil au Centre de Capacité en Droit de Chartres. </w:t>
      </w:r>
      <w:r w:rsidRPr="002F06D9">
        <w:rPr>
          <w:rFonts w:ascii="Tahoma" w:hAnsi="Tahoma" w:cs="Tahoma"/>
          <w:i/>
          <w:sz w:val="20"/>
        </w:rPr>
        <w:t xml:space="preserve">Il est présent pour moitié du </w:t>
      </w:r>
      <w:r>
        <w:rPr>
          <w:rFonts w:ascii="Tahoma" w:hAnsi="Tahoma" w:cs="Tahoma"/>
          <w:i/>
          <w:sz w:val="20"/>
        </w:rPr>
        <w:t xml:space="preserve">temps de travail </w:t>
      </w:r>
      <w:r w:rsidRPr="002F06D9">
        <w:rPr>
          <w:rFonts w:ascii="Tahoma" w:hAnsi="Tahoma" w:cs="Tahoma"/>
          <w:i/>
          <w:sz w:val="20"/>
        </w:rPr>
        <w:t>sur le site d</w:t>
      </w:r>
      <w:r>
        <w:rPr>
          <w:rFonts w:ascii="Tahoma" w:hAnsi="Tahoma" w:cs="Tahoma"/>
          <w:i/>
          <w:sz w:val="20"/>
        </w:rPr>
        <w:t>u Pôle Universitaire d’Eure et L</w:t>
      </w:r>
      <w:r w:rsidRPr="002F06D9">
        <w:rPr>
          <w:rFonts w:ascii="Tahoma" w:hAnsi="Tahoma" w:cs="Tahoma"/>
          <w:i/>
          <w:sz w:val="20"/>
        </w:rPr>
        <w:t>oir et pour moitié au sein de la Direction du Dévelo</w:t>
      </w:r>
      <w:r>
        <w:rPr>
          <w:rFonts w:ascii="Tahoma" w:hAnsi="Tahoma" w:cs="Tahoma"/>
          <w:i/>
          <w:sz w:val="20"/>
        </w:rPr>
        <w:t>ppement Economique et de l’Enseignement S</w:t>
      </w:r>
      <w:r w:rsidRPr="002F06D9">
        <w:rPr>
          <w:rFonts w:ascii="Tahoma" w:hAnsi="Tahoma" w:cs="Tahoma"/>
          <w:i/>
          <w:sz w:val="20"/>
        </w:rPr>
        <w:t>upérieur.</w:t>
      </w:r>
    </w:p>
    <w:p w:rsidR="009704C6" w:rsidRPr="00250E22" w:rsidRDefault="009704C6" w:rsidP="009704C6">
      <w:pPr>
        <w:jc w:val="both"/>
        <w:rPr>
          <w:rFonts w:ascii="Tahoma" w:hAnsi="Tahoma" w:cs="Tahoma"/>
          <w:sz w:val="20"/>
        </w:rPr>
      </w:pPr>
    </w:p>
    <w:p w:rsidR="009704C6" w:rsidRDefault="009704C6" w:rsidP="009704C6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FA5261">
        <w:rPr>
          <w:rFonts w:ascii="Tahoma" w:hAnsi="Tahoma" w:cs="Tahoma"/>
          <w:b/>
          <w:sz w:val="20"/>
        </w:rPr>
        <w:t xml:space="preserve"> </w:t>
      </w:r>
      <w:r w:rsidRPr="00FA5261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9704C6" w:rsidRDefault="009704C6" w:rsidP="009704C6">
      <w:pPr>
        <w:jc w:val="both"/>
        <w:rPr>
          <w:rFonts w:ascii="Tahoma" w:hAnsi="Tahoma" w:cs="Tahoma"/>
          <w:sz w:val="20"/>
          <w:u w:val="single"/>
        </w:rPr>
      </w:pP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l’a</w:t>
      </w:r>
      <w:r w:rsidRPr="00FA5261">
        <w:rPr>
          <w:rFonts w:ascii="Tahoma" w:hAnsi="Tahoma" w:cs="Tahoma"/>
          <w:sz w:val="20"/>
        </w:rPr>
        <w:t xml:space="preserve">ccueil téléphonique </w:t>
      </w:r>
      <w:r>
        <w:rPr>
          <w:rFonts w:ascii="Tahoma" w:hAnsi="Tahoma" w:cs="Tahoma"/>
          <w:sz w:val="20"/>
        </w:rPr>
        <w:t>et</w:t>
      </w:r>
      <w:r w:rsidRPr="00FA5261">
        <w:rPr>
          <w:rFonts w:ascii="Tahoma" w:hAnsi="Tahoma" w:cs="Tahoma"/>
          <w:sz w:val="20"/>
        </w:rPr>
        <w:t xml:space="preserve"> physique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Inform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les</w:t>
      </w:r>
      <w:r w:rsidRPr="00FA5261">
        <w:rPr>
          <w:rFonts w:ascii="Tahoma" w:hAnsi="Tahoma" w:cs="Tahoma"/>
          <w:sz w:val="20"/>
        </w:rPr>
        <w:t xml:space="preserve"> futu</w:t>
      </w:r>
      <w:r>
        <w:rPr>
          <w:rFonts w:ascii="Tahoma" w:hAnsi="Tahoma" w:cs="Tahoma"/>
          <w:sz w:val="20"/>
        </w:rPr>
        <w:t>rs étudiants de la Capacité en D</w:t>
      </w:r>
      <w:r w:rsidRPr="00FA5261">
        <w:rPr>
          <w:rFonts w:ascii="Tahoma" w:hAnsi="Tahoma" w:cs="Tahoma"/>
          <w:sz w:val="20"/>
        </w:rPr>
        <w:t>roit sur la formation et les modalités d’inscription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érer l</w:t>
      </w:r>
      <w:r w:rsidRPr="00FA5261">
        <w:rPr>
          <w:rFonts w:ascii="Tahoma" w:hAnsi="Tahoma" w:cs="Tahoma"/>
          <w:sz w:val="20"/>
        </w:rPr>
        <w:t>es inscriptions universitaires en lien avec l’Université d’Orléans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les missions</w:t>
      </w:r>
      <w:r w:rsidRPr="00FA526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de secrétariat,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Réalis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>, coord</w:t>
      </w:r>
      <w:r>
        <w:rPr>
          <w:rFonts w:ascii="Tahoma" w:hAnsi="Tahoma" w:cs="Tahoma"/>
          <w:sz w:val="20"/>
        </w:rPr>
        <w:t>onner</w:t>
      </w:r>
      <w:r w:rsidRPr="00FA5261">
        <w:rPr>
          <w:rFonts w:ascii="Tahoma" w:hAnsi="Tahoma" w:cs="Tahoma"/>
          <w:sz w:val="20"/>
        </w:rPr>
        <w:t xml:space="preserve"> et sui</w:t>
      </w:r>
      <w:r>
        <w:rPr>
          <w:rFonts w:ascii="Tahoma" w:hAnsi="Tahoma" w:cs="Tahoma"/>
          <w:sz w:val="20"/>
        </w:rPr>
        <w:t>vre l</w:t>
      </w:r>
      <w:r w:rsidRPr="00FA5261">
        <w:rPr>
          <w:rFonts w:ascii="Tahoma" w:hAnsi="Tahoma" w:cs="Tahoma"/>
          <w:sz w:val="20"/>
        </w:rPr>
        <w:t>es plannings de cours et de TD en lien avec les enseignants et la</w:t>
      </w:r>
      <w:r>
        <w:rPr>
          <w:rFonts w:ascii="Tahoma" w:hAnsi="Tahoma" w:cs="Tahoma"/>
          <w:sz w:val="20"/>
        </w:rPr>
        <w:t xml:space="preserve"> Responsable de la Capacité en D</w:t>
      </w:r>
      <w:r w:rsidRPr="00FA5261">
        <w:rPr>
          <w:rFonts w:ascii="Tahoma" w:hAnsi="Tahoma" w:cs="Tahoma"/>
          <w:sz w:val="20"/>
        </w:rPr>
        <w:t>roit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Cré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 xml:space="preserve"> et </w:t>
      </w:r>
      <w:r>
        <w:rPr>
          <w:rFonts w:ascii="Tahoma" w:hAnsi="Tahoma" w:cs="Tahoma"/>
          <w:sz w:val="20"/>
        </w:rPr>
        <w:t>mettre à jour l</w:t>
      </w:r>
      <w:r w:rsidRPr="00FA5261">
        <w:rPr>
          <w:rFonts w:ascii="Tahoma" w:hAnsi="Tahoma" w:cs="Tahoma"/>
          <w:sz w:val="20"/>
        </w:rPr>
        <w:t xml:space="preserve">es dossiers des enseignants en lien </w:t>
      </w:r>
      <w:r>
        <w:rPr>
          <w:rFonts w:ascii="Tahoma" w:hAnsi="Tahoma" w:cs="Tahoma"/>
          <w:sz w:val="20"/>
        </w:rPr>
        <w:t>avec la Direction des Ressources Humaines de Chartres M</w:t>
      </w:r>
      <w:r w:rsidRPr="00FA5261">
        <w:rPr>
          <w:rFonts w:ascii="Tahoma" w:hAnsi="Tahoma" w:cs="Tahoma"/>
          <w:sz w:val="20"/>
        </w:rPr>
        <w:t>étropole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Réalis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 xml:space="preserve"> des états d’heures mensuels des enseignants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Organis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 xml:space="preserve"> des sessions d’examens et de rattrapage en lien avec l’Université d’Orléans</w:t>
      </w:r>
      <w:r>
        <w:rPr>
          <w:rFonts w:ascii="Tahoma" w:hAnsi="Tahoma" w:cs="Tahoma"/>
          <w:sz w:val="20"/>
        </w:rPr>
        <w:t>,</w:t>
      </w:r>
    </w:p>
    <w:p w:rsidR="009704C6" w:rsidRPr="00FA5261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FA5261">
        <w:rPr>
          <w:rFonts w:ascii="Tahoma" w:hAnsi="Tahoma" w:cs="Tahoma"/>
          <w:sz w:val="20"/>
        </w:rPr>
        <w:t>Réalis</w:t>
      </w:r>
      <w:r>
        <w:rPr>
          <w:rFonts w:ascii="Tahoma" w:hAnsi="Tahoma" w:cs="Tahoma"/>
          <w:sz w:val="20"/>
        </w:rPr>
        <w:t>er</w:t>
      </w:r>
      <w:r w:rsidRPr="00FA5261">
        <w:rPr>
          <w:rFonts w:ascii="Tahoma" w:hAnsi="Tahoma" w:cs="Tahoma"/>
          <w:sz w:val="20"/>
        </w:rPr>
        <w:t xml:space="preserve"> des comptes rendus de</w:t>
      </w:r>
      <w:r>
        <w:rPr>
          <w:rFonts w:ascii="Tahoma" w:hAnsi="Tahoma" w:cs="Tahoma"/>
          <w:sz w:val="20"/>
        </w:rPr>
        <w:t>s</w:t>
      </w:r>
      <w:r w:rsidRPr="00FA5261">
        <w:rPr>
          <w:rFonts w:ascii="Tahoma" w:hAnsi="Tahoma" w:cs="Tahoma"/>
          <w:sz w:val="20"/>
        </w:rPr>
        <w:t xml:space="preserve"> réunions des enseignants</w:t>
      </w:r>
      <w:r>
        <w:rPr>
          <w:rFonts w:ascii="Tahoma" w:hAnsi="Tahoma" w:cs="Tahoma"/>
          <w:sz w:val="20"/>
        </w:rPr>
        <w:t>,</w:t>
      </w:r>
    </w:p>
    <w:p w:rsidR="009704C6" w:rsidRDefault="009704C6" w:rsidP="009704C6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ponctuellement des</w:t>
      </w:r>
      <w:r w:rsidRPr="00FA5261">
        <w:rPr>
          <w:rFonts w:ascii="Tahoma" w:hAnsi="Tahoma" w:cs="Tahoma"/>
          <w:sz w:val="20"/>
        </w:rPr>
        <w:t xml:space="preserve"> mission</w:t>
      </w:r>
      <w:r>
        <w:rPr>
          <w:rFonts w:ascii="Tahoma" w:hAnsi="Tahoma" w:cs="Tahoma"/>
          <w:sz w:val="20"/>
        </w:rPr>
        <w:t>s</w:t>
      </w:r>
      <w:r w:rsidRPr="00FA5261">
        <w:rPr>
          <w:rFonts w:ascii="Tahoma" w:hAnsi="Tahoma" w:cs="Tahoma"/>
          <w:sz w:val="20"/>
        </w:rPr>
        <w:t xml:space="preserve"> d’accueil et de secrétariat </w:t>
      </w:r>
      <w:r>
        <w:rPr>
          <w:rFonts w:ascii="Tahoma" w:hAnsi="Tahoma" w:cs="Tahoma"/>
          <w:sz w:val="20"/>
        </w:rPr>
        <w:t xml:space="preserve">au service du Développement Economique et de l’Enseignement Supérieur. </w:t>
      </w:r>
    </w:p>
    <w:p w:rsidR="009704C6" w:rsidRDefault="009704C6" w:rsidP="009704C6">
      <w:pPr>
        <w:jc w:val="both"/>
        <w:rPr>
          <w:rFonts w:ascii="Tahoma" w:hAnsi="Tahoma" w:cs="Tahoma"/>
          <w:sz w:val="20"/>
        </w:rPr>
      </w:pPr>
    </w:p>
    <w:p w:rsidR="009704C6" w:rsidRPr="002F06D9" w:rsidRDefault="009704C6" w:rsidP="009704C6">
      <w:pPr>
        <w:jc w:val="both"/>
        <w:rPr>
          <w:rFonts w:ascii="Tahoma" w:hAnsi="Tahoma" w:cs="Tahoma"/>
          <w:b/>
          <w:sz w:val="20"/>
          <w:u w:val="single"/>
        </w:rPr>
      </w:pPr>
      <w:r w:rsidRPr="002F06D9">
        <w:rPr>
          <w:rFonts w:ascii="Tahoma" w:hAnsi="Tahoma" w:cs="Tahoma"/>
          <w:b/>
          <w:sz w:val="20"/>
          <w:u w:val="single"/>
        </w:rPr>
        <w:t>COMPETENCES</w:t>
      </w:r>
      <w:r w:rsidRPr="002F06D9">
        <w:rPr>
          <w:rFonts w:ascii="Tahoma" w:hAnsi="Tahoma" w:cs="Tahoma"/>
          <w:b/>
          <w:sz w:val="20"/>
        </w:rPr>
        <w:t> :</w:t>
      </w:r>
    </w:p>
    <w:p w:rsidR="009704C6" w:rsidRPr="002F06D9" w:rsidRDefault="009704C6" w:rsidP="009704C6">
      <w:pPr>
        <w:jc w:val="both"/>
        <w:rPr>
          <w:rFonts w:ascii="Tahoma" w:hAnsi="Tahoma" w:cs="Tahoma"/>
          <w:sz w:val="20"/>
        </w:rPr>
      </w:pPr>
    </w:p>
    <w:p w:rsidR="009704C6" w:rsidRDefault="009704C6" w:rsidP="009704C6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Sens de l’accueil et de la communication, expérience souhaitée sur des missions similaires,</w:t>
      </w:r>
    </w:p>
    <w:p w:rsidR="009704C6" w:rsidRDefault="009704C6" w:rsidP="009704C6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Maitrise des outils de bureautique et du Pack Office,</w:t>
      </w:r>
    </w:p>
    <w:p w:rsidR="009704C6" w:rsidRDefault="009704C6" w:rsidP="009704C6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Autonomie,</w:t>
      </w:r>
    </w:p>
    <w:p w:rsidR="009704C6" w:rsidRDefault="009704C6" w:rsidP="009704C6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Esprit d’initiative,</w:t>
      </w:r>
    </w:p>
    <w:p w:rsidR="009704C6" w:rsidRPr="002F06D9" w:rsidRDefault="009704C6" w:rsidP="009704C6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Rigueur.</w:t>
      </w:r>
    </w:p>
    <w:p w:rsidR="009704C6" w:rsidRPr="002F06D9" w:rsidRDefault="009704C6" w:rsidP="009704C6">
      <w:pPr>
        <w:jc w:val="both"/>
        <w:rPr>
          <w:rFonts w:ascii="Tahoma" w:hAnsi="Tahoma" w:cs="Tahoma"/>
          <w:sz w:val="20"/>
        </w:rPr>
      </w:pPr>
    </w:p>
    <w:p w:rsidR="009704C6" w:rsidRDefault="009704C6" w:rsidP="009704C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9704C6" w:rsidRDefault="009704C6" w:rsidP="009704C6">
      <w:pPr>
        <w:jc w:val="both"/>
        <w:rPr>
          <w:rFonts w:ascii="Tahoma" w:hAnsi="Tahoma" w:cs="Tahoma"/>
          <w:b/>
          <w:sz w:val="20"/>
        </w:rPr>
      </w:pPr>
    </w:p>
    <w:p w:rsidR="009704C6" w:rsidRDefault="009704C6" w:rsidP="009704C6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Déplacements entre deux sites à prévoir, permis B nécessaire,</w:t>
      </w:r>
    </w:p>
    <w:p w:rsidR="00876FD9" w:rsidRDefault="009704C6" w:rsidP="009704C6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>Présence au début des cours à 18h00 indispensable</w:t>
      </w:r>
    </w:p>
    <w:p w:rsidR="00876FD9" w:rsidRPr="0095024C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9704C6">
        <w:rPr>
          <w:rFonts w:ascii="Tahoma" w:hAnsi="Tahoma" w:cs="Tahoma"/>
          <w:b/>
          <w:i/>
          <w:sz w:val="20"/>
        </w:rPr>
        <w:t xml:space="preserve"> 29 juillet 2020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DC4B99" w:rsidP="000D34E1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  <w:bookmarkStart w:id="0" w:name="_GoBack"/>
      <w:bookmarkEnd w:id="0"/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B70BCA"/>
    <w:multiLevelType w:val="hybridMultilevel"/>
    <w:tmpl w:val="03E22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0044D"/>
    <w:multiLevelType w:val="hybridMultilevel"/>
    <w:tmpl w:val="3D56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24E2"/>
    <w:multiLevelType w:val="hybridMultilevel"/>
    <w:tmpl w:val="47223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D34E1"/>
    <w:rsid w:val="00105BC4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704C6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A04F-3944-4D93-9E2B-47F6860D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2156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2019-10-03T08:50:00Z</cp:lastPrinted>
  <dcterms:created xsi:type="dcterms:W3CDTF">2020-06-26T09:53:00Z</dcterms:created>
  <dcterms:modified xsi:type="dcterms:W3CDTF">2020-06-26T09:53:00Z</dcterms:modified>
</cp:coreProperties>
</file>