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E5" w:rsidRDefault="00716F3D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34925</wp:posOffset>
            </wp:positionV>
            <wp:extent cx="1092364" cy="149542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6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Default="00FF688F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69215</wp:posOffset>
                </wp:positionV>
                <wp:extent cx="2895600" cy="880110"/>
                <wp:effectExtent l="317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DB" w:rsidRPr="00AF0933" w:rsidRDefault="005815DB" w:rsidP="004974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7pt;margin-top:5.45pt;width:228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" o:allowincell="f" stroked="f" strokeweight="0">
                <v:textbox inset="0,0,0,0">
                  <w:txbxContent>
                    <w:p w:rsidR="005815DB" w:rsidRPr="00AF0933" w:rsidRDefault="005815DB" w:rsidP="0049745C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716F3D" w:rsidRDefault="00716F3D">
      <w:pPr>
        <w:rPr>
          <w:rFonts w:ascii="Tahoma" w:hAnsi="Tahoma" w:cs="Tahoma"/>
          <w:smallCaps/>
          <w:sz w:val="16"/>
          <w:szCs w:val="16"/>
        </w:rPr>
      </w:pPr>
    </w:p>
    <w:p w:rsidR="00716F3D" w:rsidRDefault="00716F3D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716F3D" w:rsidRDefault="00716F3D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>
      <w:pPr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  <w:bookmarkStart w:id="0" w:name="_GoBack"/>
      <w:bookmarkEnd w:id="0"/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CD438A">
        <w:rPr>
          <w:rFonts w:ascii="Tahoma" w:hAnsi="Tahoma" w:cs="Tahoma"/>
          <w:sz w:val="16"/>
          <w:szCs w:val="16"/>
        </w:rPr>
        <w:t>15 avril 2021</w:t>
      </w:r>
    </w:p>
    <w:p w:rsidR="00CC5FCB" w:rsidRDefault="00CC5FCB">
      <w:pPr>
        <w:rPr>
          <w:rFonts w:ascii="Tahoma" w:hAnsi="Tahoma" w:cs="Tahoma"/>
          <w:sz w:val="16"/>
          <w:szCs w:val="16"/>
        </w:rPr>
      </w:pPr>
    </w:p>
    <w:p w:rsidR="00CC5FCB" w:rsidRPr="00A42103" w:rsidRDefault="00CC5FCB">
      <w:pPr>
        <w:rPr>
          <w:rFonts w:ascii="Tahoma" w:hAnsi="Tahoma" w:cs="Tahoma"/>
          <w:sz w:val="16"/>
          <w:szCs w:val="16"/>
        </w:rPr>
      </w:pPr>
    </w:p>
    <w:p w:rsidR="00FC3360" w:rsidRDefault="006936E1" w:rsidP="007811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7371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56393B">
        <w:rPr>
          <w:rFonts w:ascii="Tahoma" w:hAnsi="Tahoma" w:cs="Tahoma"/>
          <w:b/>
          <w:sz w:val="20"/>
        </w:rPr>
        <w:t xml:space="preserve">de </w:t>
      </w:r>
      <w:r w:rsidR="00947503">
        <w:rPr>
          <w:rFonts w:ascii="Tahoma" w:hAnsi="Tahoma" w:cs="Tahoma"/>
          <w:b/>
          <w:sz w:val="20"/>
        </w:rPr>
        <w:t>Gestionnaire Carrière Santé</w:t>
      </w:r>
      <w:r w:rsidR="0056393B">
        <w:rPr>
          <w:rFonts w:ascii="Tahoma" w:hAnsi="Tahoma" w:cs="Tahoma"/>
          <w:b/>
          <w:sz w:val="20"/>
        </w:rPr>
        <w:t xml:space="preserve"> (H/F)</w:t>
      </w:r>
    </w:p>
    <w:p w:rsidR="00462979" w:rsidRPr="00E97610" w:rsidRDefault="00462979" w:rsidP="007811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7371"/>
        </w:tabs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>
        <w:rPr>
          <w:rFonts w:ascii="Tahoma" w:hAnsi="Tahoma" w:cs="Tahoma"/>
          <w:b/>
          <w:sz w:val="20"/>
        </w:rPr>
        <w:t xml:space="preserve"> temps complet</w:t>
      </w:r>
    </w:p>
    <w:p w:rsidR="00696D6B" w:rsidRDefault="006936E1" w:rsidP="007811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7811BC" w:rsidRDefault="007811BC" w:rsidP="007811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au</w:t>
      </w:r>
      <w:proofErr w:type="gramEnd"/>
      <w:r>
        <w:rPr>
          <w:rFonts w:ascii="Tahoma" w:hAnsi="Tahoma" w:cs="Tahoma"/>
          <w:b/>
          <w:sz w:val="20"/>
        </w:rPr>
        <w:t xml:space="preserve"> sein du service Gestion des Carrières</w:t>
      </w:r>
    </w:p>
    <w:p w:rsidR="00FC3360" w:rsidRDefault="00A83103" w:rsidP="007811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>
        <w:rPr>
          <w:rFonts w:ascii="Tahoma" w:hAnsi="Tahoma" w:cs="Tahoma"/>
          <w:b/>
          <w:sz w:val="20"/>
        </w:rPr>
        <w:t xml:space="preserve"> la </w:t>
      </w:r>
      <w:r w:rsidR="00A8581C">
        <w:rPr>
          <w:rFonts w:ascii="Tahoma" w:hAnsi="Tahoma" w:cs="Tahoma"/>
          <w:b/>
          <w:sz w:val="20"/>
        </w:rPr>
        <w:t>DGA en charge des Ressources Humaine</w:t>
      </w:r>
      <w:r w:rsidR="00C04AE2">
        <w:rPr>
          <w:rFonts w:ascii="Tahoma" w:hAnsi="Tahoma" w:cs="Tahoma"/>
          <w:b/>
          <w:sz w:val="20"/>
        </w:rPr>
        <w:t>s</w:t>
      </w:r>
      <w:r w:rsidR="00A8581C">
        <w:rPr>
          <w:rFonts w:ascii="Tahoma" w:hAnsi="Tahoma" w:cs="Tahoma"/>
          <w:b/>
          <w:sz w:val="20"/>
        </w:rPr>
        <w:t xml:space="preserve"> et de la Modernisation Sociale</w:t>
      </w:r>
    </w:p>
    <w:p w:rsidR="007811BC" w:rsidRPr="007811BC" w:rsidRDefault="007811BC" w:rsidP="007811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7811BC">
        <w:rPr>
          <w:rFonts w:ascii="Tahoma" w:hAnsi="Tahoma" w:cs="Tahoma"/>
          <w:sz w:val="20"/>
        </w:rPr>
        <w:t>(Catégories B ou C – Rédacteur, Adjoint Administratif confirmé ou Contractuel)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947503" w:rsidRDefault="00947503" w:rsidP="00C31265">
      <w:pPr>
        <w:jc w:val="both"/>
        <w:rPr>
          <w:rFonts w:ascii="Tahoma" w:hAnsi="Tahoma" w:cs="Tahoma"/>
          <w:sz w:val="20"/>
        </w:rPr>
      </w:pPr>
    </w:p>
    <w:p w:rsidR="007811BC" w:rsidRPr="00C04AE2" w:rsidRDefault="007811BC" w:rsidP="007811BC">
      <w:pPr>
        <w:jc w:val="both"/>
        <w:rPr>
          <w:rFonts w:ascii="Tahoma" w:hAnsi="Tahoma" w:cs="Tahoma"/>
          <w:i/>
          <w:sz w:val="20"/>
        </w:rPr>
      </w:pPr>
      <w:r w:rsidRPr="00C04AE2">
        <w:rPr>
          <w:rFonts w:ascii="Tahoma" w:hAnsi="Tahoma" w:cs="Tahoma"/>
          <w:i/>
          <w:sz w:val="20"/>
        </w:rPr>
        <w:t>Au sein d’une équipe de 6 personnes, l’agent(e) doit être en capacité d’apporter une réponse professionnelle aux demandes des services et des agents quant à la gestion de tous les actes de carrières, depuis l’arrivée de l’agent jusqu’à son départ, dans le respect de la réglementation et des processus de gestion interne.</w:t>
      </w:r>
    </w:p>
    <w:p w:rsidR="007811BC" w:rsidRDefault="007811BC" w:rsidP="007811BC">
      <w:pPr>
        <w:jc w:val="both"/>
        <w:rPr>
          <w:rFonts w:ascii="Tahoma" w:hAnsi="Tahoma" w:cs="Tahoma"/>
          <w:sz w:val="20"/>
        </w:rPr>
      </w:pPr>
    </w:p>
    <w:p w:rsidR="007811BC" w:rsidRDefault="007811BC" w:rsidP="007811BC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 PRINCIPALES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7811BC" w:rsidRPr="00BB633A" w:rsidRDefault="007811BC" w:rsidP="007811BC">
      <w:pPr>
        <w:jc w:val="both"/>
        <w:rPr>
          <w:rFonts w:ascii="Tahoma" w:hAnsi="Tahoma" w:cs="Tahoma"/>
          <w:sz w:val="20"/>
          <w:u w:val="single"/>
        </w:rPr>
      </w:pPr>
    </w:p>
    <w:p w:rsidR="007811BC" w:rsidRPr="005F085A" w:rsidRDefault="007811BC" w:rsidP="007811BC">
      <w:pPr>
        <w:pStyle w:val="Paragraphedeliste"/>
        <w:numPr>
          <w:ilvl w:val="0"/>
          <w:numId w:val="30"/>
        </w:numPr>
        <w:ind w:left="709" w:hanging="283"/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Accueil</w:t>
      </w:r>
      <w:r>
        <w:rPr>
          <w:rFonts w:ascii="Tahoma" w:hAnsi="Tahoma" w:cs="Tahoma"/>
          <w:sz w:val="20"/>
        </w:rPr>
        <w:t>lir</w:t>
      </w:r>
      <w:r w:rsidRPr="005F085A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c</w:t>
      </w:r>
      <w:r w:rsidRPr="005F085A">
        <w:rPr>
          <w:rFonts w:ascii="Tahoma" w:hAnsi="Tahoma" w:cs="Tahoma"/>
          <w:sz w:val="20"/>
        </w:rPr>
        <w:t>onseil</w:t>
      </w:r>
      <w:r>
        <w:rPr>
          <w:rFonts w:ascii="Tahoma" w:hAnsi="Tahoma" w:cs="Tahoma"/>
          <w:sz w:val="20"/>
        </w:rPr>
        <w:t>ler</w:t>
      </w:r>
      <w:r w:rsidRPr="005F085A">
        <w:rPr>
          <w:rFonts w:ascii="Tahoma" w:hAnsi="Tahoma" w:cs="Tahoma"/>
          <w:sz w:val="20"/>
        </w:rPr>
        <w:t xml:space="preserve"> et </w:t>
      </w:r>
      <w:r>
        <w:rPr>
          <w:rFonts w:ascii="Tahoma" w:hAnsi="Tahoma" w:cs="Tahoma"/>
          <w:sz w:val="20"/>
        </w:rPr>
        <w:t>i</w:t>
      </w:r>
      <w:r w:rsidRPr="005F085A">
        <w:rPr>
          <w:rFonts w:ascii="Tahoma" w:hAnsi="Tahoma" w:cs="Tahoma"/>
          <w:sz w:val="20"/>
        </w:rPr>
        <w:t>nform</w:t>
      </w:r>
      <w:r>
        <w:rPr>
          <w:rFonts w:ascii="Tahoma" w:hAnsi="Tahoma" w:cs="Tahoma"/>
          <w:sz w:val="20"/>
        </w:rPr>
        <w:t>er</w:t>
      </w:r>
      <w:r w:rsidRPr="005F08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les</w:t>
      </w:r>
      <w:r w:rsidRPr="005F085A">
        <w:rPr>
          <w:rFonts w:ascii="Tahoma" w:hAnsi="Tahoma" w:cs="Tahoma"/>
          <w:sz w:val="20"/>
        </w:rPr>
        <w:t xml:space="preserve"> encadrants et </w:t>
      </w:r>
      <w:r>
        <w:rPr>
          <w:rFonts w:ascii="Tahoma" w:hAnsi="Tahoma" w:cs="Tahoma"/>
          <w:sz w:val="20"/>
        </w:rPr>
        <w:t>les</w:t>
      </w:r>
      <w:r w:rsidRPr="005F085A">
        <w:rPr>
          <w:rFonts w:ascii="Tahoma" w:hAnsi="Tahoma" w:cs="Tahoma"/>
          <w:sz w:val="20"/>
        </w:rPr>
        <w:t xml:space="preserve"> agents quant au déroulement des actes de gestion de</w:t>
      </w:r>
      <w:r>
        <w:rPr>
          <w:rFonts w:ascii="Tahoma" w:hAnsi="Tahoma" w:cs="Tahoma"/>
          <w:sz w:val="20"/>
        </w:rPr>
        <w:t>s</w:t>
      </w:r>
      <w:r w:rsidRPr="005F085A">
        <w:rPr>
          <w:rFonts w:ascii="Tahoma" w:hAnsi="Tahoma" w:cs="Tahoma"/>
          <w:sz w:val="20"/>
        </w:rPr>
        <w:t xml:space="preserve"> carrières.</w:t>
      </w:r>
    </w:p>
    <w:p w:rsidR="007811BC" w:rsidRDefault="007811BC" w:rsidP="007811BC">
      <w:pPr>
        <w:pStyle w:val="Paragraphedeliste"/>
        <w:numPr>
          <w:ilvl w:val="0"/>
          <w:numId w:val="30"/>
        </w:numPr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Assurer la g</w:t>
      </w:r>
      <w:r w:rsidRPr="005F085A">
        <w:rPr>
          <w:rFonts w:ascii="Tahoma" w:hAnsi="Tahoma" w:cs="Tahoma"/>
          <w:sz w:val="20"/>
        </w:rPr>
        <w:t xml:space="preserve">estion </w:t>
      </w:r>
      <w:r>
        <w:rPr>
          <w:rFonts w:ascii="Tahoma" w:hAnsi="Tahoma" w:cs="Tahoma"/>
          <w:sz w:val="20"/>
        </w:rPr>
        <w:t>a</w:t>
      </w:r>
      <w:r w:rsidRPr="005F085A">
        <w:rPr>
          <w:rFonts w:ascii="Tahoma" w:hAnsi="Tahoma" w:cs="Tahoma"/>
          <w:sz w:val="20"/>
        </w:rPr>
        <w:t xml:space="preserve">dministrative et </w:t>
      </w:r>
      <w:r>
        <w:rPr>
          <w:rFonts w:ascii="Tahoma" w:hAnsi="Tahoma" w:cs="Tahoma"/>
          <w:sz w:val="20"/>
        </w:rPr>
        <w:t>i</w:t>
      </w:r>
      <w:r w:rsidRPr="005F085A">
        <w:rPr>
          <w:rFonts w:ascii="Tahoma" w:hAnsi="Tahoma" w:cs="Tahoma"/>
          <w:sz w:val="20"/>
        </w:rPr>
        <w:t xml:space="preserve">nformatique (sur logiciel </w:t>
      </w:r>
      <w:proofErr w:type="spellStart"/>
      <w:r w:rsidRPr="005F085A">
        <w:rPr>
          <w:rFonts w:ascii="Tahoma" w:hAnsi="Tahoma" w:cs="Tahoma"/>
          <w:sz w:val="20"/>
        </w:rPr>
        <w:t>Ciril</w:t>
      </w:r>
      <w:proofErr w:type="spellEnd"/>
      <w:r w:rsidRPr="005F085A">
        <w:rPr>
          <w:rFonts w:ascii="Tahoma" w:hAnsi="Tahoma" w:cs="Tahoma"/>
          <w:sz w:val="20"/>
        </w:rPr>
        <w:t xml:space="preserve"> et sur les outils de gestion) des situations de carrière des agents (recrutement, renouvellement de contrat, nomination de stagiaire, mutation, détachement, titularisation, avancements d’échelon ou de </w:t>
      </w:r>
      <w:r>
        <w:rPr>
          <w:rFonts w:ascii="Tahoma" w:hAnsi="Tahoma" w:cs="Tahoma"/>
          <w:sz w:val="20"/>
        </w:rPr>
        <w:t>grade, gestion des contractuels et</w:t>
      </w:r>
      <w:r w:rsidRPr="005F085A">
        <w:rPr>
          <w:rFonts w:ascii="Tahoma" w:hAnsi="Tahoma" w:cs="Tahoma"/>
          <w:sz w:val="20"/>
        </w:rPr>
        <w:t xml:space="preserve"> des emplois spécifiqu</w:t>
      </w:r>
      <w:r>
        <w:rPr>
          <w:rFonts w:ascii="Tahoma" w:hAnsi="Tahoma" w:cs="Tahoma"/>
          <w:sz w:val="20"/>
        </w:rPr>
        <w:t>es</w:t>
      </w:r>
      <w:r w:rsidRPr="005F085A">
        <w:rPr>
          <w:rFonts w:ascii="Tahoma" w:hAnsi="Tahoma" w:cs="Tahoma"/>
          <w:sz w:val="20"/>
        </w:rPr>
        <w:t>, mise en œuvre des réformes statutaires telles que reclassement ou intégration, gestion des positions statutaires telles que temps partiel, congé parental, disponibilité ou autres).</w:t>
      </w:r>
    </w:p>
    <w:p w:rsidR="007811BC" w:rsidRPr="005F085A" w:rsidRDefault="007811BC" w:rsidP="007811BC">
      <w:pPr>
        <w:pStyle w:val="Paragraphedeliste"/>
        <w:numPr>
          <w:ilvl w:val="0"/>
          <w:numId w:val="30"/>
        </w:numPr>
        <w:ind w:left="709" w:hanging="283"/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Réd</w:t>
      </w:r>
      <w:r>
        <w:rPr>
          <w:rFonts w:ascii="Tahoma" w:hAnsi="Tahoma" w:cs="Tahoma"/>
          <w:sz w:val="20"/>
        </w:rPr>
        <w:t>iger</w:t>
      </w:r>
      <w:r w:rsidRPr="005F085A">
        <w:rPr>
          <w:rFonts w:ascii="Tahoma" w:hAnsi="Tahoma" w:cs="Tahoma"/>
          <w:sz w:val="20"/>
        </w:rPr>
        <w:t xml:space="preserve"> des actes administratifs dans le respect du cadre juridique.</w:t>
      </w:r>
    </w:p>
    <w:p w:rsidR="007811BC" w:rsidRPr="005F085A" w:rsidRDefault="007811BC" w:rsidP="007811BC">
      <w:pPr>
        <w:pStyle w:val="Paragraphedeliste"/>
        <w:numPr>
          <w:ilvl w:val="0"/>
          <w:numId w:val="30"/>
        </w:numPr>
        <w:ind w:left="709" w:hanging="283"/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Saisi</w:t>
      </w:r>
      <w:r>
        <w:rPr>
          <w:rFonts w:ascii="Tahoma" w:hAnsi="Tahoma" w:cs="Tahoma"/>
          <w:sz w:val="20"/>
        </w:rPr>
        <w:t>r</w:t>
      </w:r>
      <w:r w:rsidRPr="005F085A">
        <w:rPr>
          <w:rFonts w:ascii="Tahoma" w:hAnsi="Tahoma" w:cs="Tahoma"/>
          <w:sz w:val="20"/>
        </w:rPr>
        <w:t xml:space="preserve"> et g</w:t>
      </w:r>
      <w:r>
        <w:rPr>
          <w:rFonts w:ascii="Tahoma" w:hAnsi="Tahoma" w:cs="Tahoma"/>
          <w:sz w:val="20"/>
        </w:rPr>
        <w:t>érer</w:t>
      </w:r>
      <w:r w:rsidRPr="005F085A">
        <w:rPr>
          <w:rFonts w:ascii="Tahoma" w:hAnsi="Tahoma" w:cs="Tahoma"/>
          <w:sz w:val="20"/>
        </w:rPr>
        <w:t xml:space="preserve"> des situations de maladie</w:t>
      </w:r>
      <w:r>
        <w:rPr>
          <w:rFonts w:ascii="Tahoma" w:hAnsi="Tahoma" w:cs="Tahoma"/>
          <w:sz w:val="20"/>
        </w:rPr>
        <w:t>, de maternité et</w:t>
      </w:r>
      <w:r w:rsidRPr="005F085A">
        <w:rPr>
          <w:rFonts w:ascii="Tahoma" w:hAnsi="Tahoma" w:cs="Tahoma"/>
          <w:sz w:val="20"/>
        </w:rPr>
        <w:t xml:space="preserve"> de paternité</w:t>
      </w:r>
      <w:r>
        <w:rPr>
          <w:rFonts w:ascii="Tahoma" w:hAnsi="Tahoma" w:cs="Tahoma"/>
          <w:sz w:val="20"/>
        </w:rPr>
        <w:t>.</w:t>
      </w:r>
    </w:p>
    <w:p w:rsidR="007811BC" w:rsidRPr="005F085A" w:rsidRDefault="007811BC" w:rsidP="007811BC">
      <w:pPr>
        <w:pStyle w:val="Paragraphedeliste"/>
        <w:numPr>
          <w:ilvl w:val="0"/>
          <w:numId w:val="30"/>
        </w:numPr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Gérer</w:t>
      </w:r>
      <w:r w:rsidRPr="005F085A">
        <w:rPr>
          <w:rFonts w:ascii="Tahoma" w:hAnsi="Tahoma" w:cs="Tahoma"/>
          <w:sz w:val="20"/>
        </w:rPr>
        <w:t xml:space="preserve"> des arrêts de travail transmis hors délais et des services non faits</w:t>
      </w:r>
      <w:r>
        <w:rPr>
          <w:rFonts w:ascii="Tahoma" w:hAnsi="Tahoma" w:cs="Tahoma"/>
          <w:sz w:val="20"/>
        </w:rPr>
        <w:t>.</w:t>
      </w:r>
    </w:p>
    <w:p w:rsidR="007811BC" w:rsidRDefault="007811BC" w:rsidP="007811BC">
      <w:pPr>
        <w:pStyle w:val="Paragraphedeliste"/>
        <w:numPr>
          <w:ilvl w:val="0"/>
          <w:numId w:val="30"/>
        </w:numPr>
        <w:ind w:left="709" w:hanging="283"/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Analyse</w:t>
      </w:r>
      <w:r>
        <w:rPr>
          <w:rFonts w:ascii="Tahoma" w:hAnsi="Tahoma" w:cs="Tahoma"/>
          <w:sz w:val="20"/>
        </w:rPr>
        <w:t>r</w:t>
      </w:r>
      <w:r w:rsidRPr="005F08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l</w:t>
      </w:r>
      <w:r w:rsidRPr="005F085A">
        <w:rPr>
          <w:rFonts w:ascii="Tahoma" w:hAnsi="Tahoma" w:cs="Tahoma"/>
          <w:sz w:val="20"/>
        </w:rPr>
        <w:t>es droits à pension de retraite, conseil</w:t>
      </w:r>
      <w:r>
        <w:rPr>
          <w:rFonts w:ascii="Tahoma" w:hAnsi="Tahoma" w:cs="Tahoma"/>
          <w:sz w:val="20"/>
        </w:rPr>
        <w:t>ler</w:t>
      </w:r>
      <w:r w:rsidRPr="005F08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les</w:t>
      </w:r>
      <w:r w:rsidRPr="005F085A">
        <w:rPr>
          <w:rFonts w:ascii="Tahoma" w:hAnsi="Tahoma" w:cs="Tahoma"/>
          <w:sz w:val="20"/>
        </w:rPr>
        <w:t xml:space="preserve"> agents</w:t>
      </w:r>
      <w:r>
        <w:rPr>
          <w:rFonts w:ascii="Tahoma" w:hAnsi="Tahoma" w:cs="Tahoma"/>
          <w:sz w:val="20"/>
        </w:rPr>
        <w:t xml:space="preserve">, </w:t>
      </w:r>
      <w:r w:rsidRPr="005F085A">
        <w:rPr>
          <w:rFonts w:ascii="Tahoma" w:hAnsi="Tahoma" w:cs="Tahoma"/>
          <w:sz w:val="20"/>
        </w:rPr>
        <w:t>aliment</w:t>
      </w:r>
      <w:r>
        <w:rPr>
          <w:rFonts w:ascii="Tahoma" w:hAnsi="Tahoma" w:cs="Tahoma"/>
          <w:sz w:val="20"/>
        </w:rPr>
        <w:t>er l</w:t>
      </w:r>
      <w:r w:rsidRPr="005F085A">
        <w:rPr>
          <w:rFonts w:ascii="Tahoma" w:hAnsi="Tahoma" w:cs="Tahoma"/>
          <w:sz w:val="20"/>
        </w:rPr>
        <w:t>es éléments dématérialisés dans le cadre du droit à l’information retraite.</w:t>
      </w:r>
    </w:p>
    <w:p w:rsidR="00C04AE2" w:rsidRPr="005F085A" w:rsidRDefault="00C04AE2" w:rsidP="007811BC">
      <w:pPr>
        <w:pStyle w:val="Paragraphedeliste"/>
        <w:numPr>
          <w:ilvl w:val="0"/>
          <w:numId w:val="30"/>
        </w:numPr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Instruire des dossiers de médailles d’honneur du travail.</w:t>
      </w:r>
    </w:p>
    <w:p w:rsidR="007811BC" w:rsidRPr="005F085A" w:rsidRDefault="007811BC" w:rsidP="007811BC">
      <w:pPr>
        <w:pStyle w:val="Paragraphedeliste"/>
        <w:numPr>
          <w:ilvl w:val="0"/>
          <w:numId w:val="30"/>
        </w:numPr>
        <w:ind w:left="709" w:hanging="283"/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Veiller à la tenue et à la mise à jour des dossiers individuels des agents.</w:t>
      </w:r>
    </w:p>
    <w:p w:rsidR="007811BC" w:rsidRPr="005F085A" w:rsidRDefault="007811BC" w:rsidP="007811BC">
      <w:pPr>
        <w:pStyle w:val="Paragraphedeliste"/>
        <w:numPr>
          <w:ilvl w:val="0"/>
          <w:numId w:val="30"/>
        </w:numPr>
        <w:ind w:left="709" w:hanging="283"/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Procéder à la tenue et à la mise à jour des tableaux de bord de suivi d’activité et échéanciers.</w:t>
      </w:r>
    </w:p>
    <w:p w:rsidR="007811BC" w:rsidRPr="005F085A" w:rsidRDefault="007811BC" w:rsidP="007811BC">
      <w:pPr>
        <w:pStyle w:val="Paragraphedeliste"/>
        <w:numPr>
          <w:ilvl w:val="0"/>
          <w:numId w:val="30"/>
        </w:numPr>
        <w:ind w:left="709" w:hanging="283"/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Assurer la gestion du classement et de l’archivage.</w:t>
      </w:r>
    </w:p>
    <w:p w:rsidR="007811BC" w:rsidRPr="00BB633A" w:rsidRDefault="007811BC" w:rsidP="007811BC">
      <w:pPr>
        <w:jc w:val="both"/>
        <w:rPr>
          <w:rFonts w:ascii="Tahoma" w:hAnsi="Tahoma" w:cs="Tahoma"/>
          <w:sz w:val="20"/>
        </w:rPr>
      </w:pPr>
    </w:p>
    <w:p w:rsidR="007811BC" w:rsidRPr="00696D6B" w:rsidRDefault="007811BC" w:rsidP="007811BC">
      <w:pPr>
        <w:jc w:val="both"/>
        <w:rPr>
          <w:rFonts w:ascii="Tahoma" w:hAnsi="Tahoma" w:cs="Tahoma"/>
          <w:b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 OCCASIONNELLES</w:t>
      </w:r>
      <w:r w:rsidRPr="00696D6B">
        <w:rPr>
          <w:rFonts w:ascii="Tahoma" w:hAnsi="Tahoma" w:cs="Tahoma"/>
          <w:b/>
          <w:sz w:val="20"/>
        </w:rPr>
        <w:t> :</w:t>
      </w:r>
    </w:p>
    <w:p w:rsidR="007811BC" w:rsidRPr="00BB633A" w:rsidRDefault="007811BC" w:rsidP="007811BC">
      <w:pPr>
        <w:jc w:val="both"/>
        <w:rPr>
          <w:rFonts w:ascii="Tahoma" w:hAnsi="Tahoma" w:cs="Tahoma"/>
          <w:sz w:val="20"/>
          <w:u w:val="single"/>
        </w:rPr>
      </w:pPr>
    </w:p>
    <w:p w:rsidR="007811BC" w:rsidRPr="005F085A" w:rsidRDefault="007811BC" w:rsidP="007811BC">
      <w:pPr>
        <w:pStyle w:val="Paragraphedeliste"/>
        <w:numPr>
          <w:ilvl w:val="0"/>
          <w:numId w:val="31"/>
        </w:numPr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Contribuer</w:t>
      </w:r>
      <w:r w:rsidRPr="005F085A">
        <w:rPr>
          <w:rFonts w:ascii="Tahoma" w:hAnsi="Tahoma" w:cs="Tahoma"/>
          <w:sz w:val="20"/>
        </w:rPr>
        <w:t xml:space="preserve"> à l’évolution des logiciels en participant à l’automatisation des actes.</w:t>
      </w:r>
    </w:p>
    <w:p w:rsidR="007811BC" w:rsidRPr="005F085A" w:rsidRDefault="007811BC" w:rsidP="007811BC">
      <w:pPr>
        <w:pStyle w:val="Paragraphedeliste"/>
        <w:numPr>
          <w:ilvl w:val="0"/>
          <w:numId w:val="31"/>
        </w:numPr>
        <w:ind w:left="709" w:hanging="283"/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Particip</w:t>
      </w:r>
      <w:r>
        <w:rPr>
          <w:rFonts w:ascii="Tahoma" w:hAnsi="Tahoma" w:cs="Tahoma"/>
          <w:sz w:val="20"/>
        </w:rPr>
        <w:t>er</w:t>
      </w:r>
      <w:r w:rsidRPr="005F085A">
        <w:rPr>
          <w:rFonts w:ascii="Tahoma" w:hAnsi="Tahoma" w:cs="Tahoma"/>
          <w:sz w:val="20"/>
        </w:rPr>
        <w:t xml:space="preserve"> à la mise en œuvre des nouvelles réglementations.</w:t>
      </w:r>
    </w:p>
    <w:p w:rsidR="007811BC" w:rsidRPr="005F085A" w:rsidRDefault="007811BC" w:rsidP="007811BC">
      <w:pPr>
        <w:pStyle w:val="Paragraphedeliste"/>
        <w:numPr>
          <w:ilvl w:val="0"/>
          <w:numId w:val="31"/>
        </w:numPr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Etre en capacité</w:t>
      </w:r>
      <w:r w:rsidRPr="005F08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d’</w:t>
      </w:r>
      <w:r w:rsidRPr="005F085A">
        <w:rPr>
          <w:rFonts w:ascii="Tahoma" w:hAnsi="Tahoma" w:cs="Tahoma"/>
          <w:sz w:val="20"/>
        </w:rPr>
        <w:t>aborder toute autre nouvelle demande et</w:t>
      </w:r>
      <w:r>
        <w:rPr>
          <w:rFonts w:ascii="Tahoma" w:hAnsi="Tahoma" w:cs="Tahoma"/>
          <w:sz w:val="20"/>
        </w:rPr>
        <w:t xml:space="preserve"> </w:t>
      </w:r>
      <w:r w:rsidRPr="005F085A">
        <w:rPr>
          <w:rFonts w:ascii="Tahoma" w:hAnsi="Tahoma" w:cs="Tahoma"/>
          <w:sz w:val="20"/>
        </w:rPr>
        <w:t>aller rechercher l’information.</w:t>
      </w:r>
    </w:p>
    <w:p w:rsidR="007811BC" w:rsidRDefault="007811BC" w:rsidP="007811BC">
      <w:pPr>
        <w:rPr>
          <w:rFonts w:ascii="Tahoma" w:hAnsi="Tahoma" w:cs="Tahoma"/>
          <w:sz w:val="20"/>
        </w:rPr>
      </w:pPr>
    </w:p>
    <w:p w:rsidR="007811BC" w:rsidRPr="005F085A" w:rsidRDefault="007811BC" w:rsidP="007811BC">
      <w:pPr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7811BC" w:rsidRPr="00250E22" w:rsidRDefault="007811BC" w:rsidP="007811BC">
      <w:pPr>
        <w:jc w:val="both"/>
        <w:rPr>
          <w:rFonts w:ascii="Tahoma" w:hAnsi="Tahoma" w:cs="Tahoma"/>
          <w:sz w:val="20"/>
        </w:rPr>
      </w:pPr>
    </w:p>
    <w:p w:rsidR="007811BC" w:rsidRDefault="007811BC" w:rsidP="007811BC">
      <w:pPr>
        <w:rPr>
          <w:rFonts w:ascii="Tahoma" w:hAnsi="Tahoma" w:cs="Tahoma"/>
          <w:i/>
          <w:sz w:val="20"/>
          <w:u w:val="single"/>
        </w:rPr>
      </w:pPr>
      <w:r w:rsidRPr="00696D6B">
        <w:rPr>
          <w:rFonts w:ascii="Tahoma" w:hAnsi="Tahoma" w:cs="Tahoma"/>
          <w:b/>
          <w:i/>
          <w:sz w:val="20"/>
        </w:rPr>
        <w:t>Savoirs :</w:t>
      </w:r>
      <w:r w:rsidRPr="00696D6B">
        <w:rPr>
          <w:rFonts w:ascii="Tahoma" w:hAnsi="Tahoma" w:cs="Tahoma"/>
          <w:b/>
          <w:i/>
          <w:sz w:val="20"/>
          <w:u w:val="single"/>
        </w:rPr>
        <w:t xml:space="preserve"> </w:t>
      </w:r>
    </w:p>
    <w:p w:rsidR="007811BC" w:rsidRPr="005F085A" w:rsidRDefault="007811BC" w:rsidP="007811BC">
      <w:pPr>
        <w:rPr>
          <w:rFonts w:ascii="Tahoma" w:hAnsi="Tahoma" w:cs="Tahoma"/>
          <w:i/>
          <w:sz w:val="20"/>
          <w:u w:val="single"/>
        </w:rPr>
      </w:pPr>
    </w:p>
    <w:p w:rsidR="007811BC" w:rsidRPr="005F085A" w:rsidRDefault="007811BC" w:rsidP="007811BC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Connaissance du statut de la Fonction Publique Territoriale</w:t>
      </w:r>
      <w:r>
        <w:rPr>
          <w:rFonts w:ascii="Tahoma" w:hAnsi="Tahoma" w:cs="Tahoma"/>
          <w:sz w:val="20"/>
        </w:rPr>
        <w:t>.</w:t>
      </w:r>
    </w:p>
    <w:p w:rsidR="007811BC" w:rsidRPr="005F085A" w:rsidRDefault="007811BC" w:rsidP="007811BC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Connaissance sur le cadre règlementaire des retraites et organismes intervenants (CNRACL, IRCANTEC, régime général</w:t>
      </w:r>
      <w:r>
        <w:rPr>
          <w:rFonts w:ascii="Tahoma" w:hAnsi="Tahoma" w:cs="Tahoma"/>
          <w:sz w:val="20"/>
        </w:rPr>
        <w:t>.</w:t>
      </w:r>
    </w:p>
    <w:p w:rsidR="007811BC" w:rsidRPr="005F085A" w:rsidRDefault="007811BC" w:rsidP="007811BC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Connaissance des dispositions relatives à la santé.</w:t>
      </w:r>
    </w:p>
    <w:p w:rsidR="007811BC" w:rsidRPr="005F085A" w:rsidRDefault="007811BC" w:rsidP="007811BC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</w:rPr>
      </w:pPr>
      <w:r w:rsidRPr="005F085A">
        <w:rPr>
          <w:rFonts w:ascii="Tahoma" w:hAnsi="Tahoma" w:cs="Tahoma"/>
          <w:sz w:val="20"/>
        </w:rPr>
        <w:t>Expérience sur des fonctions similaires souhaitée.</w:t>
      </w:r>
    </w:p>
    <w:p w:rsidR="007811BC" w:rsidRDefault="007811BC" w:rsidP="007811BC">
      <w:pPr>
        <w:jc w:val="both"/>
        <w:rPr>
          <w:rFonts w:ascii="Tahoma" w:hAnsi="Tahoma" w:cs="Tahoma"/>
          <w:sz w:val="20"/>
        </w:rPr>
      </w:pPr>
    </w:p>
    <w:p w:rsidR="007811BC" w:rsidRDefault="007811BC" w:rsidP="007811BC">
      <w:pPr>
        <w:jc w:val="both"/>
        <w:rPr>
          <w:rFonts w:ascii="Tahoma" w:hAnsi="Tahoma" w:cs="Tahoma"/>
          <w:sz w:val="20"/>
        </w:rPr>
      </w:pPr>
    </w:p>
    <w:p w:rsidR="00C04AE2" w:rsidRDefault="00C04AE2" w:rsidP="007811BC">
      <w:pPr>
        <w:jc w:val="both"/>
        <w:rPr>
          <w:rFonts w:ascii="Tahoma" w:hAnsi="Tahoma" w:cs="Tahoma"/>
          <w:sz w:val="20"/>
        </w:rPr>
      </w:pPr>
    </w:p>
    <w:p w:rsidR="00C04AE2" w:rsidRPr="00C11EE1" w:rsidRDefault="00C04AE2" w:rsidP="007811BC">
      <w:pPr>
        <w:jc w:val="both"/>
        <w:rPr>
          <w:rFonts w:ascii="Tahoma" w:hAnsi="Tahoma" w:cs="Tahoma"/>
          <w:sz w:val="20"/>
        </w:rPr>
      </w:pPr>
    </w:p>
    <w:p w:rsidR="007811BC" w:rsidRDefault="007811BC" w:rsidP="007811BC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i/>
          <w:sz w:val="20"/>
        </w:rPr>
        <w:lastRenderedPageBreak/>
        <w:t>Savoir-faire</w:t>
      </w:r>
      <w:r w:rsidRPr="005F085A">
        <w:rPr>
          <w:rFonts w:ascii="Tahoma" w:hAnsi="Tahoma" w:cs="Tahoma"/>
          <w:sz w:val="20"/>
        </w:rPr>
        <w:t> </w:t>
      </w:r>
      <w:r w:rsidRPr="00696D6B">
        <w:rPr>
          <w:rFonts w:ascii="Tahoma" w:hAnsi="Tahoma" w:cs="Tahoma"/>
          <w:b/>
          <w:i/>
          <w:sz w:val="20"/>
        </w:rPr>
        <w:t>:</w:t>
      </w:r>
      <w:r w:rsidRPr="005F085A">
        <w:rPr>
          <w:rFonts w:ascii="Tahoma" w:hAnsi="Tahoma" w:cs="Tahoma"/>
          <w:sz w:val="20"/>
        </w:rPr>
        <w:t xml:space="preserve"> </w:t>
      </w:r>
    </w:p>
    <w:p w:rsidR="007811BC" w:rsidRPr="005F085A" w:rsidRDefault="007811BC" w:rsidP="007811BC">
      <w:pPr>
        <w:jc w:val="both"/>
        <w:rPr>
          <w:rFonts w:ascii="Tahoma" w:hAnsi="Tahoma" w:cs="Tahoma"/>
          <w:sz w:val="20"/>
        </w:rPr>
      </w:pPr>
    </w:p>
    <w:p w:rsidR="007811BC" w:rsidRPr="00696D6B" w:rsidRDefault="007811BC" w:rsidP="007811BC">
      <w:pPr>
        <w:pStyle w:val="Paragraphedeliste"/>
        <w:numPr>
          <w:ilvl w:val="0"/>
          <w:numId w:val="33"/>
        </w:numPr>
        <w:contextualSpacing/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sz w:val="20"/>
        </w:rPr>
        <w:t>Maitrise des outils bureautiques (Word</w:t>
      </w:r>
      <w:r>
        <w:rPr>
          <w:rFonts w:ascii="Tahoma" w:hAnsi="Tahoma" w:cs="Tahoma"/>
          <w:sz w:val="20"/>
        </w:rPr>
        <w:t xml:space="preserve"> – publipostage,</w:t>
      </w:r>
      <w:r w:rsidRPr="00696D6B">
        <w:rPr>
          <w:rFonts w:ascii="Tahoma" w:hAnsi="Tahoma" w:cs="Tahoma"/>
          <w:sz w:val="20"/>
        </w:rPr>
        <w:t xml:space="preserve"> et Excel -</w:t>
      </w:r>
      <w:r>
        <w:rPr>
          <w:rFonts w:ascii="Tahoma" w:hAnsi="Tahoma" w:cs="Tahoma"/>
          <w:sz w:val="20"/>
        </w:rPr>
        <w:t xml:space="preserve"> </w:t>
      </w:r>
      <w:r w:rsidRPr="00696D6B">
        <w:rPr>
          <w:rFonts w:ascii="Tahoma" w:hAnsi="Tahoma" w:cs="Tahoma"/>
          <w:sz w:val="20"/>
        </w:rPr>
        <w:t xml:space="preserve">usage simple avec formules), </w:t>
      </w:r>
      <w:r>
        <w:rPr>
          <w:rFonts w:ascii="Tahoma" w:hAnsi="Tahoma" w:cs="Tahoma"/>
          <w:sz w:val="20"/>
        </w:rPr>
        <w:t>messagerie, Intranet et Internet.</w:t>
      </w:r>
    </w:p>
    <w:p w:rsidR="007811BC" w:rsidRPr="00696D6B" w:rsidRDefault="007811BC" w:rsidP="007811BC">
      <w:pPr>
        <w:pStyle w:val="Paragraphedeliste"/>
        <w:numPr>
          <w:ilvl w:val="0"/>
          <w:numId w:val="33"/>
        </w:num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sz w:val="20"/>
        </w:rPr>
        <w:t xml:space="preserve">Bonne appréhension des logiciels métiers (Net RH </w:t>
      </w:r>
      <w:proofErr w:type="spellStart"/>
      <w:r w:rsidRPr="00696D6B">
        <w:rPr>
          <w:rFonts w:ascii="Tahoma" w:hAnsi="Tahoma" w:cs="Tahoma"/>
          <w:sz w:val="20"/>
        </w:rPr>
        <w:t>Ciril</w:t>
      </w:r>
      <w:proofErr w:type="spellEnd"/>
      <w:r w:rsidRPr="00696D6B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>.</w:t>
      </w:r>
    </w:p>
    <w:p w:rsidR="007811BC" w:rsidRPr="00696D6B" w:rsidRDefault="007811BC" w:rsidP="007811BC">
      <w:pPr>
        <w:pStyle w:val="Paragraphedeliste"/>
        <w:numPr>
          <w:ilvl w:val="0"/>
          <w:numId w:val="33"/>
        </w:num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sz w:val="20"/>
        </w:rPr>
        <w:t>Capacité d’analyse, sens logique</w:t>
      </w:r>
      <w:r>
        <w:rPr>
          <w:rFonts w:ascii="Tahoma" w:hAnsi="Tahoma" w:cs="Tahoma"/>
          <w:sz w:val="20"/>
        </w:rPr>
        <w:t>.</w:t>
      </w:r>
    </w:p>
    <w:p w:rsidR="007811BC" w:rsidRPr="00696D6B" w:rsidRDefault="007811BC" w:rsidP="007811BC">
      <w:pPr>
        <w:pStyle w:val="Paragraphedeliste"/>
        <w:numPr>
          <w:ilvl w:val="0"/>
          <w:numId w:val="33"/>
        </w:num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sz w:val="20"/>
        </w:rPr>
        <w:t>Qualités r</w:t>
      </w:r>
      <w:r>
        <w:rPr>
          <w:rFonts w:ascii="Tahoma" w:hAnsi="Tahoma" w:cs="Tahoma"/>
          <w:sz w:val="20"/>
        </w:rPr>
        <w:t>édactionnelles et d’orthographe.</w:t>
      </w:r>
      <w:r w:rsidRPr="00696D6B">
        <w:rPr>
          <w:rFonts w:ascii="Tahoma" w:hAnsi="Tahoma" w:cs="Tahoma"/>
          <w:sz w:val="20"/>
        </w:rPr>
        <w:t xml:space="preserve"> </w:t>
      </w:r>
    </w:p>
    <w:p w:rsidR="007811BC" w:rsidRPr="00696D6B" w:rsidRDefault="007811BC" w:rsidP="007811BC">
      <w:pPr>
        <w:jc w:val="both"/>
        <w:rPr>
          <w:rFonts w:ascii="Tahoma" w:hAnsi="Tahoma" w:cs="Tahoma"/>
          <w:sz w:val="20"/>
        </w:rPr>
      </w:pPr>
    </w:p>
    <w:p w:rsidR="007811BC" w:rsidRDefault="007811BC" w:rsidP="007811BC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b/>
          <w:i/>
          <w:sz w:val="20"/>
        </w:rPr>
        <w:t xml:space="preserve">Savoir-être : </w:t>
      </w:r>
    </w:p>
    <w:p w:rsidR="007811BC" w:rsidRPr="00696D6B" w:rsidRDefault="007811BC" w:rsidP="007811BC">
      <w:pPr>
        <w:jc w:val="both"/>
        <w:rPr>
          <w:rFonts w:ascii="Tahoma" w:hAnsi="Tahoma" w:cs="Tahoma"/>
          <w:b/>
          <w:sz w:val="20"/>
        </w:rPr>
      </w:pPr>
    </w:p>
    <w:p w:rsidR="007811BC" w:rsidRPr="00696D6B" w:rsidRDefault="007811BC" w:rsidP="007811BC">
      <w:pPr>
        <w:pStyle w:val="Paragraphedeliste"/>
        <w:numPr>
          <w:ilvl w:val="0"/>
          <w:numId w:val="34"/>
        </w:numPr>
        <w:contextualSpacing/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sz w:val="20"/>
        </w:rPr>
        <w:t>Rigueur, organisation, respect des délais</w:t>
      </w:r>
      <w:r>
        <w:rPr>
          <w:rFonts w:ascii="Tahoma" w:hAnsi="Tahoma" w:cs="Tahoma"/>
          <w:sz w:val="20"/>
        </w:rPr>
        <w:t>.</w:t>
      </w:r>
    </w:p>
    <w:p w:rsidR="007811BC" w:rsidRPr="00696D6B" w:rsidRDefault="007811BC" w:rsidP="007811BC">
      <w:pPr>
        <w:pStyle w:val="Paragraphedeliste"/>
        <w:numPr>
          <w:ilvl w:val="0"/>
          <w:numId w:val="34"/>
        </w:num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sz w:val="20"/>
        </w:rPr>
        <w:t>Discrétion, retenue et professionnalisme (respect des obligations de discrétion et de confidentialité)</w:t>
      </w:r>
      <w:r>
        <w:rPr>
          <w:rFonts w:ascii="Tahoma" w:hAnsi="Tahoma" w:cs="Tahoma"/>
          <w:sz w:val="20"/>
        </w:rPr>
        <w:t>.</w:t>
      </w:r>
    </w:p>
    <w:p w:rsidR="007811BC" w:rsidRPr="00696D6B" w:rsidRDefault="007811BC" w:rsidP="007811BC">
      <w:pPr>
        <w:pStyle w:val="Paragraphedeliste"/>
        <w:numPr>
          <w:ilvl w:val="0"/>
          <w:numId w:val="34"/>
        </w:num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sz w:val="20"/>
        </w:rPr>
        <w:t xml:space="preserve">Sens du </w:t>
      </w:r>
      <w:r>
        <w:rPr>
          <w:rFonts w:ascii="Tahoma" w:hAnsi="Tahoma" w:cs="Tahoma"/>
          <w:sz w:val="20"/>
        </w:rPr>
        <w:t>service public.</w:t>
      </w:r>
    </w:p>
    <w:p w:rsidR="007811BC" w:rsidRPr="00696D6B" w:rsidRDefault="007811BC" w:rsidP="007811BC">
      <w:pPr>
        <w:pStyle w:val="Paragraphedeliste"/>
        <w:numPr>
          <w:ilvl w:val="0"/>
          <w:numId w:val="34"/>
        </w:numPr>
        <w:contextualSpacing/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sz w:val="20"/>
        </w:rPr>
        <w:t>Sens du travail en équipe et/ou transversal</w:t>
      </w:r>
      <w:r>
        <w:rPr>
          <w:rFonts w:ascii="Tahoma" w:hAnsi="Tahoma" w:cs="Tahoma"/>
          <w:sz w:val="20"/>
        </w:rPr>
        <w:t>ité, compétences relationnelles.</w:t>
      </w:r>
    </w:p>
    <w:p w:rsidR="007811BC" w:rsidRPr="00696D6B" w:rsidRDefault="007811BC" w:rsidP="007811BC">
      <w:pPr>
        <w:pStyle w:val="Paragraphedeliste"/>
        <w:numPr>
          <w:ilvl w:val="0"/>
          <w:numId w:val="34"/>
        </w:num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sz w:val="20"/>
        </w:rPr>
        <w:t>Imp</w:t>
      </w:r>
      <w:r>
        <w:rPr>
          <w:rFonts w:ascii="Tahoma" w:hAnsi="Tahoma" w:cs="Tahoma"/>
          <w:sz w:val="20"/>
        </w:rPr>
        <w:t>lication dans la vie du service.</w:t>
      </w:r>
    </w:p>
    <w:p w:rsidR="007811BC" w:rsidRPr="00696D6B" w:rsidRDefault="007811BC" w:rsidP="007811BC">
      <w:pPr>
        <w:pStyle w:val="Paragraphedeliste"/>
        <w:numPr>
          <w:ilvl w:val="0"/>
          <w:numId w:val="34"/>
        </w:numPr>
        <w:contextualSpacing/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sz w:val="20"/>
        </w:rPr>
        <w:t>Autonomie et sens de l’initiative.</w:t>
      </w:r>
    </w:p>
    <w:p w:rsidR="00947503" w:rsidRDefault="00947503" w:rsidP="00C31265">
      <w:pPr>
        <w:jc w:val="both"/>
        <w:rPr>
          <w:rFonts w:ascii="Tahoma" w:hAnsi="Tahoma" w:cs="Tahoma"/>
          <w:sz w:val="20"/>
        </w:rPr>
      </w:pPr>
    </w:p>
    <w:p w:rsidR="00947503" w:rsidRDefault="00947503" w:rsidP="00C31265">
      <w:pPr>
        <w:jc w:val="both"/>
        <w:rPr>
          <w:rFonts w:ascii="Tahoma" w:hAnsi="Tahoma" w:cs="Tahoma"/>
          <w:sz w:val="20"/>
        </w:rPr>
      </w:pPr>
    </w:p>
    <w:p w:rsidR="00947503" w:rsidRDefault="00947503" w:rsidP="00C31265">
      <w:pPr>
        <w:jc w:val="both"/>
        <w:rPr>
          <w:rFonts w:ascii="Tahoma" w:hAnsi="Tahoma" w:cs="Tahoma"/>
          <w:sz w:val="20"/>
        </w:rPr>
      </w:pPr>
    </w:p>
    <w:p w:rsidR="00555851" w:rsidRDefault="00555851" w:rsidP="00172C9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Rémunération</w:t>
      </w:r>
      <w:r w:rsidR="00462979" w:rsidRPr="00555851">
        <w:rPr>
          <w:rFonts w:ascii="Tahoma" w:hAnsi="Tahoma" w:cs="Tahoma"/>
          <w:sz w:val="20"/>
        </w:rPr>
        <w:t> </w:t>
      </w:r>
    </w:p>
    <w:p w:rsidR="00A8581C" w:rsidRPr="00947503" w:rsidRDefault="00555851" w:rsidP="00172C9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T</w:t>
      </w:r>
      <w:r w:rsidR="00462979">
        <w:rPr>
          <w:rFonts w:ascii="Tahoma" w:hAnsi="Tahoma" w:cs="Tahoma"/>
          <w:sz w:val="20"/>
        </w:rPr>
        <w:t xml:space="preserve">raitement indiciaire + régime indemnitaire (RIFSEEP) – Groupe de fonction </w:t>
      </w:r>
      <w:r w:rsidR="00947503" w:rsidRPr="00947503">
        <w:rPr>
          <w:rFonts w:ascii="Tahoma" w:hAnsi="Tahoma" w:cs="Tahoma"/>
          <w:b/>
          <w:sz w:val="20"/>
        </w:rPr>
        <w:t>B3</w:t>
      </w:r>
    </w:p>
    <w:p w:rsidR="00CE3415" w:rsidRDefault="00CE3415" w:rsidP="00172C90">
      <w:pPr>
        <w:rPr>
          <w:rFonts w:ascii="Tahoma" w:hAnsi="Tahoma" w:cs="Tahoma"/>
          <w:b/>
          <w:sz w:val="20"/>
        </w:rPr>
      </w:pPr>
    </w:p>
    <w:p w:rsidR="00C04AE2" w:rsidRDefault="00C04AE2" w:rsidP="00172C90">
      <w:pPr>
        <w:rPr>
          <w:rFonts w:ascii="Tahoma" w:hAnsi="Tahoma" w:cs="Tahoma"/>
          <w:b/>
          <w:sz w:val="20"/>
        </w:rPr>
      </w:pPr>
    </w:p>
    <w:p w:rsidR="00FD3C26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</w:t>
      </w:r>
      <w:r w:rsidR="003D2B18">
        <w:rPr>
          <w:rFonts w:ascii="Tahoma" w:hAnsi="Tahoma" w:cs="Tahoma"/>
          <w:i/>
          <w:sz w:val="20"/>
        </w:rPr>
        <w:t>m</w:t>
      </w:r>
      <w:r w:rsidR="00696D6B">
        <w:rPr>
          <w:rFonts w:ascii="Tahoma" w:hAnsi="Tahoma" w:cs="Tahoma"/>
          <w:i/>
          <w:sz w:val="20"/>
        </w:rPr>
        <w:t>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3D2B18">
        <w:rPr>
          <w:rFonts w:ascii="Tahoma" w:hAnsi="Tahoma" w:cs="Tahoma"/>
          <w:b/>
          <w:i/>
          <w:sz w:val="20"/>
          <w:u w:val="single"/>
        </w:rPr>
        <w:t>avant le</w:t>
      </w:r>
      <w:r w:rsidR="00541E75">
        <w:rPr>
          <w:rFonts w:ascii="Tahoma" w:hAnsi="Tahoma" w:cs="Tahoma"/>
          <w:b/>
          <w:i/>
          <w:sz w:val="20"/>
          <w:u w:val="single"/>
        </w:rPr>
        <w:t xml:space="preserve"> </w:t>
      </w:r>
      <w:r w:rsidR="00CD438A">
        <w:rPr>
          <w:rFonts w:ascii="Tahoma" w:hAnsi="Tahoma" w:cs="Tahoma"/>
          <w:b/>
          <w:i/>
          <w:sz w:val="20"/>
          <w:u w:val="single"/>
        </w:rPr>
        <w:t>16 mai</w:t>
      </w:r>
      <w:r w:rsidR="00BF0B5A">
        <w:rPr>
          <w:rFonts w:ascii="Tahoma" w:hAnsi="Tahoma" w:cs="Tahoma"/>
          <w:b/>
          <w:i/>
          <w:sz w:val="20"/>
          <w:u w:val="single"/>
        </w:rPr>
        <w:t xml:space="preserve"> 2021.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3D2B18" w:rsidRPr="00250E22" w:rsidRDefault="003D2B18" w:rsidP="00AF0933">
      <w:pPr>
        <w:jc w:val="both"/>
        <w:rPr>
          <w:rFonts w:ascii="Tahoma" w:hAnsi="Tahoma" w:cs="Tahoma"/>
          <w:b/>
          <w:i/>
          <w:sz w:val="20"/>
        </w:rPr>
      </w:pPr>
    </w:p>
    <w:p w:rsidR="0049745C" w:rsidRPr="0013173A" w:rsidRDefault="00696D6B" w:rsidP="00CD438A">
      <w:pPr>
        <w:tabs>
          <w:tab w:val="center" w:pos="7371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i/>
          <w:sz w:val="20"/>
        </w:rPr>
        <w:tab/>
      </w:r>
    </w:p>
    <w:sectPr w:rsidR="0049745C" w:rsidRPr="0013173A" w:rsidSect="0013173A">
      <w:pgSz w:w="11907" w:h="16840" w:code="9"/>
      <w:pgMar w:top="680" w:right="851" w:bottom="568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46C"/>
    <w:multiLevelType w:val="hybridMultilevel"/>
    <w:tmpl w:val="A498C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7F2"/>
    <w:multiLevelType w:val="hybridMultilevel"/>
    <w:tmpl w:val="4866F7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82CD6"/>
    <w:multiLevelType w:val="hybridMultilevel"/>
    <w:tmpl w:val="B5364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F3526"/>
    <w:multiLevelType w:val="hybridMultilevel"/>
    <w:tmpl w:val="86C26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2B67"/>
    <w:multiLevelType w:val="hybridMultilevel"/>
    <w:tmpl w:val="8F125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55D9"/>
    <w:multiLevelType w:val="hybridMultilevel"/>
    <w:tmpl w:val="41B67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67B0D"/>
    <w:multiLevelType w:val="hybridMultilevel"/>
    <w:tmpl w:val="D054D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95C70"/>
    <w:multiLevelType w:val="hybridMultilevel"/>
    <w:tmpl w:val="7724309E"/>
    <w:lvl w:ilvl="0" w:tplc="F04C21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1824"/>
    <w:multiLevelType w:val="hybridMultilevel"/>
    <w:tmpl w:val="8B664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D1DB9"/>
    <w:multiLevelType w:val="hybridMultilevel"/>
    <w:tmpl w:val="DA6AB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F5F8D"/>
    <w:multiLevelType w:val="hybridMultilevel"/>
    <w:tmpl w:val="F0BAB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24824"/>
    <w:multiLevelType w:val="hybridMultilevel"/>
    <w:tmpl w:val="9FA4F4BA"/>
    <w:lvl w:ilvl="0" w:tplc="F04C21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271AC"/>
    <w:multiLevelType w:val="hybridMultilevel"/>
    <w:tmpl w:val="56FEC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1FF7"/>
    <w:multiLevelType w:val="hybridMultilevel"/>
    <w:tmpl w:val="21889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F3B6F"/>
    <w:multiLevelType w:val="hybridMultilevel"/>
    <w:tmpl w:val="7F0EB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F29"/>
    <w:multiLevelType w:val="hybridMultilevel"/>
    <w:tmpl w:val="3230E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B63D6"/>
    <w:multiLevelType w:val="hybridMultilevel"/>
    <w:tmpl w:val="6B1A5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77147"/>
    <w:multiLevelType w:val="hybridMultilevel"/>
    <w:tmpl w:val="169265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4026E4"/>
    <w:multiLevelType w:val="hybridMultilevel"/>
    <w:tmpl w:val="46CA2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2442"/>
    <w:multiLevelType w:val="hybridMultilevel"/>
    <w:tmpl w:val="503A1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10D7"/>
    <w:multiLevelType w:val="hybridMultilevel"/>
    <w:tmpl w:val="7B084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572E"/>
    <w:multiLevelType w:val="hybridMultilevel"/>
    <w:tmpl w:val="DFBA8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351BC"/>
    <w:multiLevelType w:val="hybridMultilevel"/>
    <w:tmpl w:val="A7E0B51C"/>
    <w:lvl w:ilvl="0" w:tplc="F04C21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AAD"/>
    <w:multiLevelType w:val="hybridMultilevel"/>
    <w:tmpl w:val="2F309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4761A"/>
    <w:multiLevelType w:val="hybridMultilevel"/>
    <w:tmpl w:val="25C67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7625C"/>
    <w:multiLevelType w:val="hybridMultilevel"/>
    <w:tmpl w:val="44D4D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02EA4"/>
    <w:multiLevelType w:val="hybridMultilevel"/>
    <w:tmpl w:val="10F4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C5495"/>
    <w:multiLevelType w:val="hybridMultilevel"/>
    <w:tmpl w:val="45403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220DB"/>
    <w:multiLevelType w:val="hybridMultilevel"/>
    <w:tmpl w:val="9E2EC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E76BF"/>
    <w:multiLevelType w:val="hybridMultilevel"/>
    <w:tmpl w:val="BDC82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36C4F"/>
    <w:multiLevelType w:val="hybridMultilevel"/>
    <w:tmpl w:val="B6405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F6FED"/>
    <w:multiLevelType w:val="hybridMultilevel"/>
    <w:tmpl w:val="5BD8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50437"/>
    <w:multiLevelType w:val="hybridMultilevel"/>
    <w:tmpl w:val="E146B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4516C"/>
    <w:multiLevelType w:val="hybridMultilevel"/>
    <w:tmpl w:val="E5627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32"/>
  </w:num>
  <w:num w:numId="5">
    <w:abstractNumId w:val="6"/>
  </w:num>
  <w:num w:numId="6">
    <w:abstractNumId w:val="8"/>
  </w:num>
  <w:num w:numId="7">
    <w:abstractNumId w:val="16"/>
  </w:num>
  <w:num w:numId="8">
    <w:abstractNumId w:val="31"/>
  </w:num>
  <w:num w:numId="9">
    <w:abstractNumId w:val="13"/>
  </w:num>
  <w:num w:numId="10">
    <w:abstractNumId w:val="9"/>
  </w:num>
  <w:num w:numId="11">
    <w:abstractNumId w:val="28"/>
  </w:num>
  <w:num w:numId="12">
    <w:abstractNumId w:val="11"/>
  </w:num>
  <w:num w:numId="13">
    <w:abstractNumId w:val="22"/>
  </w:num>
  <w:num w:numId="14">
    <w:abstractNumId w:val="14"/>
  </w:num>
  <w:num w:numId="15">
    <w:abstractNumId w:val="30"/>
  </w:num>
  <w:num w:numId="16">
    <w:abstractNumId w:val="7"/>
  </w:num>
  <w:num w:numId="17">
    <w:abstractNumId w:val="19"/>
  </w:num>
  <w:num w:numId="18">
    <w:abstractNumId w:val="26"/>
  </w:num>
  <w:num w:numId="19">
    <w:abstractNumId w:val="0"/>
  </w:num>
  <w:num w:numId="20">
    <w:abstractNumId w:val="10"/>
  </w:num>
  <w:num w:numId="21">
    <w:abstractNumId w:val="27"/>
  </w:num>
  <w:num w:numId="22">
    <w:abstractNumId w:val="21"/>
  </w:num>
  <w:num w:numId="23">
    <w:abstractNumId w:val="1"/>
  </w:num>
  <w:num w:numId="24">
    <w:abstractNumId w:val="23"/>
  </w:num>
  <w:num w:numId="25">
    <w:abstractNumId w:val="4"/>
  </w:num>
  <w:num w:numId="26">
    <w:abstractNumId w:val="18"/>
  </w:num>
  <w:num w:numId="27">
    <w:abstractNumId w:val="12"/>
  </w:num>
  <w:num w:numId="28">
    <w:abstractNumId w:val="24"/>
  </w:num>
  <w:num w:numId="29">
    <w:abstractNumId w:val="33"/>
  </w:num>
  <w:num w:numId="30">
    <w:abstractNumId w:val="2"/>
  </w:num>
  <w:num w:numId="31">
    <w:abstractNumId w:val="17"/>
  </w:num>
  <w:num w:numId="32">
    <w:abstractNumId w:val="15"/>
  </w:num>
  <w:num w:numId="33">
    <w:abstractNumId w:val="25"/>
  </w:num>
  <w:num w:numId="3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107E2"/>
    <w:rsid w:val="000201E3"/>
    <w:rsid w:val="00026D1A"/>
    <w:rsid w:val="00026DF8"/>
    <w:rsid w:val="00036DDA"/>
    <w:rsid w:val="00036DDC"/>
    <w:rsid w:val="0005025D"/>
    <w:rsid w:val="00071DD4"/>
    <w:rsid w:val="00074AE6"/>
    <w:rsid w:val="0009110D"/>
    <w:rsid w:val="000A7E5D"/>
    <w:rsid w:val="000B2934"/>
    <w:rsid w:val="00105BC4"/>
    <w:rsid w:val="0012578D"/>
    <w:rsid w:val="0013173A"/>
    <w:rsid w:val="00161921"/>
    <w:rsid w:val="00172C90"/>
    <w:rsid w:val="001B26AE"/>
    <w:rsid w:val="001C1A9C"/>
    <w:rsid w:val="001C3117"/>
    <w:rsid w:val="001C7303"/>
    <w:rsid w:val="001E4487"/>
    <w:rsid w:val="001F0173"/>
    <w:rsid w:val="0020510B"/>
    <w:rsid w:val="00221ACB"/>
    <w:rsid w:val="002433E5"/>
    <w:rsid w:val="002458F9"/>
    <w:rsid w:val="00250E22"/>
    <w:rsid w:val="00271CA4"/>
    <w:rsid w:val="002870EF"/>
    <w:rsid w:val="00290560"/>
    <w:rsid w:val="002C527C"/>
    <w:rsid w:val="0030168A"/>
    <w:rsid w:val="00312854"/>
    <w:rsid w:val="00316928"/>
    <w:rsid w:val="0032435C"/>
    <w:rsid w:val="00352A70"/>
    <w:rsid w:val="00363B62"/>
    <w:rsid w:val="0038302A"/>
    <w:rsid w:val="00393F6C"/>
    <w:rsid w:val="00397E49"/>
    <w:rsid w:val="003A4262"/>
    <w:rsid w:val="003C09DC"/>
    <w:rsid w:val="003D2B18"/>
    <w:rsid w:val="003E74DF"/>
    <w:rsid w:val="003F6CB0"/>
    <w:rsid w:val="00400390"/>
    <w:rsid w:val="0042287A"/>
    <w:rsid w:val="00432D68"/>
    <w:rsid w:val="00437B9F"/>
    <w:rsid w:val="0044729E"/>
    <w:rsid w:val="0045732F"/>
    <w:rsid w:val="00457377"/>
    <w:rsid w:val="004621BB"/>
    <w:rsid w:val="00462979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E4C67"/>
    <w:rsid w:val="005028EE"/>
    <w:rsid w:val="005038C8"/>
    <w:rsid w:val="00541E75"/>
    <w:rsid w:val="005472AA"/>
    <w:rsid w:val="00552D06"/>
    <w:rsid w:val="00554A9C"/>
    <w:rsid w:val="00554C81"/>
    <w:rsid w:val="00555851"/>
    <w:rsid w:val="0056393B"/>
    <w:rsid w:val="00563F6E"/>
    <w:rsid w:val="00564944"/>
    <w:rsid w:val="00572388"/>
    <w:rsid w:val="005734B8"/>
    <w:rsid w:val="00576452"/>
    <w:rsid w:val="005815DB"/>
    <w:rsid w:val="00581E95"/>
    <w:rsid w:val="00582A32"/>
    <w:rsid w:val="00587590"/>
    <w:rsid w:val="00595971"/>
    <w:rsid w:val="005B256E"/>
    <w:rsid w:val="005B65D8"/>
    <w:rsid w:val="005C68F1"/>
    <w:rsid w:val="005D1238"/>
    <w:rsid w:val="005E5890"/>
    <w:rsid w:val="005F085A"/>
    <w:rsid w:val="005F46EC"/>
    <w:rsid w:val="0060052C"/>
    <w:rsid w:val="00600E07"/>
    <w:rsid w:val="0062309D"/>
    <w:rsid w:val="006259A7"/>
    <w:rsid w:val="006361F4"/>
    <w:rsid w:val="00650C95"/>
    <w:rsid w:val="00673F5E"/>
    <w:rsid w:val="0069141F"/>
    <w:rsid w:val="006936E1"/>
    <w:rsid w:val="00696D6B"/>
    <w:rsid w:val="006A6073"/>
    <w:rsid w:val="006C38E7"/>
    <w:rsid w:val="006E1CEC"/>
    <w:rsid w:val="006E54E1"/>
    <w:rsid w:val="007068B0"/>
    <w:rsid w:val="00715059"/>
    <w:rsid w:val="00716F3D"/>
    <w:rsid w:val="007206FD"/>
    <w:rsid w:val="007404B5"/>
    <w:rsid w:val="007446C2"/>
    <w:rsid w:val="007528C5"/>
    <w:rsid w:val="00754FE4"/>
    <w:rsid w:val="007811BC"/>
    <w:rsid w:val="00790498"/>
    <w:rsid w:val="007C7C02"/>
    <w:rsid w:val="007D1282"/>
    <w:rsid w:val="007E4860"/>
    <w:rsid w:val="008048CF"/>
    <w:rsid w:val="00854B54"/>
    <w:rsid w:val="00855618"/>
    <w:rsid w:val="0085699B"/>
    <w:rsid w:val="0086055A"/>
    <w:rsid w:val="00866637"/>
    <w:rsid w:val="008675D1"/>
    <w:rsid w:val="00876E04"/>
    <w:rsid w:val="008809CA"/>
    <w:rsid w:val="00892308"/>
    <w:rsid w:val="008A1E04"/>
    <w:rsid w:val="008A6686"/>
    <w:rsid w:val="008B7E1F"/>
    <w:rsid w:val="008C167D"/>
    <w:rsid w:val="008D686D"/>
    <w:rsid w:val="008D6B20"/>
    <w:rsid w:val="008F50FC"/>
    <w:rsid w:val="0090112A"/>
    <w:rsid w:val="0090223B"/>
    <w:rsid w:val="00932568"/>
    <w:rsid w:val="00933296"/>
    <w:rsid w:val="00933600"/>
    <w:rsid w:val="00947503"/>
    <w:rsid w:val="00953886"/>
    <w:rsid w:val="00961669"/>
    <w:rsid w:val="00964E89"/>
    <w:rsid w:val="00965EFD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A71"/>
    <w:rsid w:val="009F4F02"/>
    <w:rsid w:val="00A236AD"/>
    <w:rsid w:val="00A33A8C"/>
    <w:rsid w:val="00A42103"/>
    <w:rsid w:val="00A83103"/>
    <w:rsid w:val="00A8581C"/>
    <w:rsid w:val="00A92DEB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67D2A"/>
    <w:rsid w:val="00BA4BD4"/>
    <w:rsid w:val="00BA5ABC"/>
    <w:rsid w:val="00BB2C59"/>
    <w:rsid w:val="00BB5162"/>
    <w:rsid w:val="00BD2F6C"/>
    <w:rsid w:val="00BD448B"/>
    <w:rsid w:val="00BE7EC1"/>
    <w:rsid w:val="00BF0B5A"/>
    <w:rsid w:val="00C04AE2"/>
    <w:rsid w:val="00C05232"/>
    <w:rsid w:val="00C107F2"/>
    <w:rsid w:val="00C11EE1"/>
    <w:rsid w:val="00C12903"/>
    <w:rsid w:val="00C1469A"/>
    <w:rsid w:val="00C14DE0"/>
    <w:rsid w:val="00C31265"/>
    <w:rsid w:val="00C369E4"/>
    <w:rsid w:val="00C81683"/>
    <w:rsid w:val="00C87AF2"/>
    <w:rsid w:val="00C94700"/>
    <w:rsid w:val="00CA177F"/>
    <w:rsid w:val="00CA3F8A"/>
    <w:rsid w:val="00CB46B8"/>
    <w:rsid w:val="00CC5FCB"/>
    <w:rsid w:val="00CD438A"/>
    <w:rsid w:val="00CE3415"/>
    <w:rsid w:val="00CE386C"/>
    <w:rsid w:val="00CE5D12"/>
    <w:rsid w:val="00D07C3E"/>
    <w:rsid w:val="00D13396"/>
    <w:rsid w:val="00D2129E"/>
    <w:rsid w:val="00D25061"/>
    <w:rsid w:val="00D45663"/>
    <w:rsid w:val="00D52631"/>
    <w:rsid w:val="00D55DBB"/>
    <w:rsid w:val="00D626BF"/>
    <w:rsid w:val="00D830CC"/>
    <w:rsid w:val="00DB1182"/>
    <w:rsid w:val="00DC2EFE"/>
    <w:rsid w:val="00DE4575"/>
    <w:rsid w:val="00DE60CF"/>
    <w:rsid w:val="00E25AD9"/>
    <w:rsid w:val="00E3554A"/>
    <w:rsid w:val="00E3731B"/>
    <w:rsid w:val="00E6542F"/>
    <w:rsid w:val="00EA1FDB"/>
    <w:rsid w:val="00EB3742"/>
    <w:rsid w:val="00EF691C"/>
    <w:rsid w:val="00EF7F78"/>
    <w:rsid w:val="00F04037"/>
    <w:rsid w:val="00F15341"/>
    <w:rsid w:val="00F567DB"/>
    <w:rsid w:val="00F653E9"/>
    <w:rsid w:val="00F80932"/>
    <w:rsid w:val="00FC3360"/>
    <w:rsid w:val="00FD3C26"/>
    <w:rsid w:val="00FE65DD"/>
    <w:rsid w:val="00FF3B1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B46931"/>
  <w15:docId w15:val="{71AD730B-7D42-4CCB-BEFF-E57E01C9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DB49-6D1D-4661-B0C6-2EE81745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3641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2</cp:revision>
  <cp:lastPrinted>2021-01-20T10:40:00Z</cp:lastPrinted>
  <dcterms:created xsi:type="dcterms:W3CDTF">2021-04-15T13:00:00Z</dcterms:created>
  <dcterms:modified xsi:type="dcterms:W3CDTF">2021-04-15T13:00:00Z</dcterms:modified>
</cp:coreProperties>
</file>